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84" w:rsidRDefault="000C7F84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</w:t>
      </w:r>
      <w:r w:rsidRPr="00BA2109">
        <w:rPr>
          <w:rFonts w:ascii="Times New Roman" w:eastAsia="Calibri" w:hAnsi="Times New Roman" w:cs="Times New Roman"/>
          <w:i/>
          <w:sz w:val="28"/>
          <w:szCs w:val="28"/>
          <w:lang w:val="uk-UA"/>
        </w:rPr>
        <w:t>Іван Нечуй-Левицький.</w:t>
      </w:r>
      <w:r w:rsidRPr="00D915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Огляд життєвого і творчого шляху</w:t>
      </w:r>
      <w:r w:rsidRPr="004F1CCE">
        <w:rPr>
          <w:rFonts w:ascii="Times New Roman" w:eastAsia="Calibri" w:hAnsi="Times New Roman" w:cs="Times New Roman"/>
          <w:sz w:val="28"/>
          <w:szCs w:val="28"/>
        </w:rPr>
        <w:t>.</w:t>
      </w:r>
      <w:r w:rsidRPr="00D915D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«Кайдашева </w:t>
      </w:r>
    </w:p>
    <w:p w:rsidR="000C7F84" w:rsidRDefault="000C7F84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D915D4">
        <w:rPr>
          <w:rFonts w:ascii="Times New Roman" w:eastAsia="Calibri" w:hAnsi="Times New Roman" w:cs="Times New Roman"/>
          <w:sz w:val="28"/>
          <w:szCs w:val="28"/>
          <w:lang w:val="uk-UA"/>
        </w:rPr>
        <w:t>сім</w:t>
      </w:r>
      <w:r w:rsidRPr="0084045D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Pr="00D915D4">
        <w:rPr>
          <w:rFonts w:ascii="Times New Roman" w:eastAsia="Calibri" w:hAnsi="Times New Roman" w:cs="Times New Roman"/>
          <w:sz w:val="28"/>
          <w:szCs w:val="28"/>
          <w:lang w:val="uk-UA"/>
        </w:rPr>
        <w:t>я»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зразок реалістичної соціально-побутової повісті. Робота з </w:t>
      </w:r>
    </w:p>
    <w:p w:rsidR="000C7F84" w:rsidRDefault="000C7F84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текстом.</w:t>
      </w:r>
    </w:p>
    <w:p w:rsidR="00143926" w:rsidRDefault="000C7F84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Мета: з’ясувати місце і роль І. Нечуя-Левицького та його творів у вітчизняній </w:t>
      </w:r>
    </w:p>
    <w:p w:rsidR="00143926" w:rsidRDefault="00143926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0C7F84">
        <w:rPr>
          <w:rFonts w:ascii="Times New Roman" w:hAnsi="Times New Roman"/>
          <w:sz w:val="28"/>
          <w:szCs w:val="28"/>
          <w:lang w:val="uk-UA"/>
        </w:rPr>
        <w:t>літературі</w:t>
      </w:r>
      <w:r w:rsidR="002F058C">
        <w:rPr>
          <w:rFonts w:ascii="Times New Roman" w:hAnsi="Times New Roman"/>
          <w:sz w:val="28"/>
          <w:szCs w:val="28"/>
          <w:lang w:val="uk-UA"/>
        </w:rPr>
        <w:t xml:space="preserve">; розвивати навики систематизації знань з інших предметів і </w:t>
      </w:r>
    </w:p>
    <w:p w:rsidR="00143926" w:rsidRDefault="00143926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F058C">
        <w:rPr>
          <w:rFonts w:ascii="Times New Roman" w:hAnsi="Times New Roman"/>
          <w:sz w:val="28"/>
          <w:szCs w:val="28"/>
          <w:lang w:val="uk-UA"/>
        </w:rPr>
        <w:t xml:space="preserve">застосування їх на уроках літератури; прищеплювати любов до </w:t>
      </w:r>
    </w:p>
    <w:p w:rsidR="000C7F84" w:rsidRDefault="00143926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F058C">
        <w:rPr>
          <w:rFonts w:ascii="Times New Roman" w:hAnsi="Times New Roman"/>
          <w:sz w:val="28"/>
          <w:szCs w:val="28"/>
          <w:lang w:val="uk-UA"/>
        </w:rPr>
        <w:t>української літератури.</w:t>
      </w:r>
    </w:p>
    <w:p w:rsidR="00D10D98" w:rsidRDefault="00D10D98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Хід заняття</w:t>
      </w:r>
    </w:p>
    <w:p w:rsidR="00D10D98" w:rsidRDefault="00D10D98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І. Організаційний момент.</w:t>
      </w:r>
    </w:p>
    <w:p w:rsidR="00D10D98" w:rsidRDefault="00D10D98" w:rsidP="003235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ІІ. Актуалізація опорних знань </w:t>
      </w:r>
    </w:p>
    <w:p w:rsidR="00D10D98" w:rsidRDefault="00D10D98" w:rsidP="00D1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розвивалася література у ХІХ столітті?</w:t>
      </w:r>
    </w:p>
    <w:p w:rsidR="00D10D98" w:rsidRDefault="00D10D98" w:rsidP="00D1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Періодичні видання в Україні в ХІХ ст..?</w:t>
      </w:r>
    </w:p>
    <w:p w:rsidR="00D10D98" w:rsidRDefault="00D10D98" w:rsidP="00D1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Реалізм в українській літературі.</w:t>
      </w:r>
    </w:p>
    <w:p w:rsidR="00262605" w:rsidRDefault="00262605" w:rsidP="00D10D9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Розкажіть про додаткові відомості про літературу 70-90-х років ХІХ ст..</w:t>
      </w:r>
    </w:p>
    <w:p w:rsidR="00D10D98" w:rsidRDefault="00D10D98" w:rsidP="00D10D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Мотивація навчальної діяльності студентів</w:t>
      </w:r>
    </w:p>
    <w:p w:rsidR="00D10D98" w:rsidRDefault="00D10D98" w:rsidP="00D10D98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10D98">
        <w:rPr>
          <w:rFonts w:ascii="Times New Roman" w:hAnsi="Times New Roman" w:cs="Times New Roman"/>
          <w:i/>
          <w:sz w:val="28"/>
          <w:szCs w:val="28"/>
          <w:lang w:val="uk-UA"/>
        </w:rPr>
        <w:t>Вступне слово вчителя</w:t>
      </w:r>
    </w:p>
    <w:p w:rsidR="00D10D98" w:rsidRDefault="00D10D98" w:rsidP="00D10D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«Реальна (реалістична) література повинна бути дзеркалом в якому б освідчувалась правдива жизнь… обчищена й гарна в естетичному погляді, добре спорядкована й згрунтована, освічена вищою ідеєю», - писав Іван Семенович Нечуй-Левицький</w:t>
      </w:r>
      <w:r w:rsidR="00262605">
        <w:rPr>
          <w:rFonts w:ascii="Times New Roman" w:hAnsi="Times New Roman" w:cs="Times New Roman"/>
          <w:sz w:val="28"/>
          <w:szCs w:val="28"/>
          <w:lang w:val="uk-UA"/>
        </w:rPr>
        <w:t>, видатний український письменник, який усе життя присвятив отій «вищій ідеї» українства. Його твори славили і лаяли, над ними сміялися і плакали, вони пережили багато поколінь, не втратили своєї актуальності й донині.</w:t>
      </w:r>
    </w:p>
    <w:p w:rsidR="00262605" w:rsidRDefault="00262605" w:rsidP="00D10D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Про цю яскраву зірку на небосхилі української літератури ми будемо говорити на сьогоднішньому занятті.</w:t>
      </w:r>
    </w:p>
    <w:p w:rsidR="00262605" w:rsidRDefault="00262605" w:rsidP="00D10D9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ІV. Оголошення теми й мети заняття</w:t>
      </w:r>
    </w:p>
    <w:p w:rsidR="000C7F84" w:rsidRDefault="00262605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V. Сприйняття і засвоєння учнями навчального матеріалу (лекція викладача)</w:t>
      </w:r>
    </w:p>
    <w:p w:rsidR="0032356D" w:rsidRPr="000C7F84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F84">
        <w:rPr>
          <w:rFonts w:ascii="Times New Roman" w:hAnsi="Times New Roman" w:cs="Times New Roman"/>
          <w:sz w:val="28"/>
          <w:szCs w:val="28"/>
          <w:lang w:val="uk-UA"/>
        </w:rPr>
        <w:t>ІВАН НЕЧУЙ-ЛЕВИЦЬКИЙ</w:t>
      </w:r>
    </w:p>
    <w:p w:rsidR="000C7F84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56D">
        <w:rPr>
          <w:rFonts w:ascii="Times New Roman" w:hAnsi="Times New Roman" w:cs="Times New Roman"/>
          <w:sz w:val="28"/>
          <w:szCs w:val="28"/>
        </w:rPr>
        <w:lastRenderedPageBreak/>
        <w:t>(1838 — 1918)</w:t>
      </w:r>
    </w:p>
    <w:p w:rsidR="0032356D" w:rsidRPr="0032356D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Художник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 бути в своїх творах дзеркалом громади, але дзеркалом високої ціни, в котрому б одбивалась жизнь правдива.., добре спорядкована й згрупована, освічена вищою ідеєю.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 w:rsidR="0026260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Pr="0032356D">
        <w:rPr>
          <w:rFonts w:ascii="Times New Roman" w:hAnsi="Times New Roman" w:cs="Times New Roman"/>
          <w:sz w:val="28"/>
          <w:szCs w:val="28"/>
        </w:rPr>
        <w:t>Іван Нечуй-Левицький</w:t>
      </w:r>
    </w:p>
    <w:p w:rsidR="0032356D" w:rsidRPr="0032356D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Він був українцем і українським, виключно українським письменником тоді, коли многі його ровесники твердо вірили, що свобода і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>іалізм знищить швидко всі національні різниці.</w:t>
      </w:r>
    </w:p>
    <w:p w:rsidR="0032356D" w:rsidRPr="0032356D" w:rsidRDefault="00262605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32356D" w:rsidRPr="0032356D">
        <w:rPr>
          <w:rFonts w:ascii="Times New Roman" w:hAnsi="Times New Roman" w:cs="Times New Roman"/>
          <w:sz w:val="28"/>
          <w:szCs w:val="28"/>
        </w:rPr>
        <w:t>Іван Франко</w:t>
      </w:r>
    </w:p>
    <w:p w:rsidR="0032356D" w:rsidRPr="000C7F84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Іван Нечуй-Левицький разом з Панасом Мирним та Олександром Кониським започаткували новий етап у розвитку української прози. Полум'яна Шевченкова муза ясно освітлювала їхній творчий шлях, давала силу й натхнення писати про знедолений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ідний народ, показувати багатство і красу душі простих людей. Розмаїта в тематичному і жанровому аспектах проза Нечуя-Левицького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>ідчить, що письменник намагався піднести українське слово до такого рівня, щоб воно цікавило не тільки селянина, який одвіку зберігав його в своєму серці, а й тих, хто, може, втратив рідну мову, але ще міг національно відродитися.</w:t>
      </w:r>
    </w:p>
    <w:p w:rsidR="0032356D" w:rsidRPr="000C7F84" w:rsidRDefault="00262605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1.</w:t>
      </w:r>
      <w:r w:rsidR="000C7F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</w:t>
      </w:r>
      <w:r w:rsidR="0032356D" w:rsidRPr="000C7F84">
        <w:rPr>
          <w:rFonts w:ascii="Times New Roman" w:hAnsi="Times New Roman" w:cs="Times New Roman"/>
          <w:b/>
          <w:i/>
          <w:sz w:val="28"/>
          <w:szCs w:val="28"/>
        </w:rPr>
        <w:t>ЖИТТЄВИЙ ШЛЯХ</w:t>
      </w:r>
    </w:p>
    <w:p w:rsidR="0032356D" w:rsidRPr="000C7F84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Іван Семенович Левицький народився 25 листопада 1838 р. в містечку Стеблеві, тепер Корсунь-Шевченківсь-кого району наЧеркащині,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 родині священика. Дитинство хлопця минуло серед чарівної природи Надросся, у духовному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іті краси рідної мови і пісні, поетичних народних звичаїв й обрядів. У батька були книжки відомих Українських істориків Дмитра Бантиша-Каменського і Миколи Маркевича, що теж позитивно вплинуло на формування зацікавлень хлопця, його інтересу до минулого рідного народу. Батько, який навчав грамоти селянських Дітей, дав перші знання і своєму синові. А з 1847 р. Іван Левицький навчається у Богуславському духовному училищі,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>ісля закінчення якого продовжує освіту в Київській духовній семінарії (1853—1859), а потім і в Київській духовній академії (1861—1865).</w:t>
      </w:r>
    </w:p>
    <w:p w:rsidR="0032356D" w:rsidRPr="000C7F84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 w:rsidR="000C7F8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Багато написано про схоластичне навчання в цих навчальних закладах, про казармені умови життя бурсаків. Це певною мірою справді так, проте і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сем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інаріях були викладачі, які будили думку своїх вихованців, знайомили їх із досягненнями філософії й естетики. Добре викладалася тут і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ітова література, семінаристи мали змогу знайомитися з її визначними явищами. </w:t>
      </w:r>
      <w:r w:rsidRPr="0032356D">
        <w:rPr>
          <w:rFonts w:ascii="Times New Roman" w:hAnsi="Times New Roman" w:cs="Times New Roman"/>
          <w:sz w:val="28"/>
          <w:szCs w:val="28"/>
        </w:rPr>
        <w:lastRenderedPageBreak/>
        <w:t>Відомо, що Іван Левицький з інтересом читав «Божественну комедію» Дан-те Аліг'єрі та «Дон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іхота» Мігеля Сервантеса де Сааведра, твори Франсуа Рене де Шатобріана, Алена Рене Лесажа, Вальтера Скотта.</w:t>
      </w:r>
    </w:p>
    <w:p w:rsidR="0032356D" w:rsidRPr="000C7F84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 w:rsidR="000C7F84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Навчаючись у духовній академії, Іван Левицький перебував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 могутнім впливом Шевченкового «Кобзаря», публіцистики журналу «Основа», творів Марка Вовчка, Івана Тургенєва, статей Дмитра Писарєва. Звичайно, знайомство з українською літературою відбувалося насамперед через її самостійне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іювання. Відомо, що письменство відігравало важливу роль у формуванні його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ітогляду. Левицький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ісля закінчення академії обрав шлях учителя російської словесності. Спочатку він працює в Полтавській духовній семінарії (1865—1866), а згодом у гімназіях польських міст Каліша (1866), Сідлеця (1867— 1872) і закінчує своє вчителювання у гімназії в Кишиневі (1873—1885).</w:t>
      </w:r>
    </w:p>
    <w:p w:rsidR="0032356D" w:rsidRPr="000C7F84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 Педагогічна праця Івана Левицького органічно поєднувалася з його літературною діяльністю. Певна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>іч, творчість українською мовою не заохочувалася властями, більше того — зазнавала репресивних ударів з боку царизму (пригадаймо хоча б валуєвський циркуляр 1863 р., емсь-кий указ царя 1876 р.), однак Левицький свідомо продовжував трудитися на ниві українського письменства.</w:t>
      </w:r>
    </w:p>
    <w:p w:rsidR="0032356D" w:rsidRPr="0032356D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2356D" w:rsidRPr="00323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ід прибраним ім'ям Іван Нечуй він друкує у 1868 — 1869 рр. у львівському журналі «Правда» оповідання «Го-риславська ніч, або Рибалка Панас Круть», повісті «Дві московки», «Причепа». Сприяв публікації цих творів Пантелеймон Куліш, який мав тісні зв'язки з галицькими народовцями. Важливо, що досвідчений літератор, публіцист, фольклорист помітив у прозі початківця ті якості, що засвідчували появу неординарної творчої особистості, й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>ідтримав Нечуя-Левицького.</w:t>
      </w:r>
    </w:p>
    <w:p w:rsidR="0032356D" w:rsidRPr="0032356D" w:rsidRDefault="000C7F84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32356D" w:rsidRPr="0032356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2356D" w:rsidRPr="0032356D">
        <w:rPr>
          <w:rFonts w:ascii="Times New Roman" w:hAnsi="Times New Roman" w:cs="Times New Roman"/>
          <w:sz w:val="28"/>
          <w:szCs w:val="28"/>
        </w:rPr>
        <w:t xml:space="preserve"> цього часу письменник інтенсивно працює на літературній ниві. З-під його пера з'являються роман «Хмари» (1874), повісті «Микола Джеря» (1878), «Кайдашева сім'я» (1879), «Бурлачка» (1880), «Старосвітські батюшки та матушки» (1884—1885).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Письменник передчасно залишив учителювання.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Про причини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його виходу на скромну пенсію можна здогадатися з однієї ситуації, зображеної в романі «Над Чорним морем» (1890). Усуваючи вчителя Комашка (а за ним вгадується сам автор твору) з роботи, директор гімназії прямо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вічі говорить йому: «Ви прочитали в одній класі уривок з української думи про Хмельницького, ви пишете в галицькі журнали, пренумеруєтесь на них, Ви </w:t>
      </w:r>
      <w:r w:rsidRPr="0032356D">
        <w:rPr>
          <w:rFonts w:ascii="Times New Roman" w:hAnsi="Times New Roman" w:cs="Times New Roman"/>
          <w:sz w:val="28"/>
          <w:szCs w:val="28"/>
        </w:rPr>
        <w:lastRenderedPageBreak/>
        <w:t>не на місці в нашій гімназії. Переходьте на північ, а як ні, то вас силою переведуть на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іле море».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Справді, Нечуй-Левицький у цей час був одним з організаторів у Кишиневі гуртка національно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ідомих українських інтелігентів, очолював його. Начальник Бессарабського жандармського управління повідомляв у Петербург, що на квартирі Івана Левицького «збирається молодь, він сам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ідтримує зв'язки з державним злочинцем Драгомановим та ін. Друкує свої статті в «Громаді» (український журнал, що видавався в Женеві), пропагує серед молоді Кишинева малоросійську літературу».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Отже, Нечуй-Левицький, напевне, змушений був вийти у відставку. Так у 1885 р. він залишає Молдавію й оселяється в Києві. Продовжує займатися літературною творчістю,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ідтримує зв'язки з відомими громадськими і культурними діячами — Михайлом Стариць-ким, Миколою Лисенком, Марком Кропивницьким, Пантелеймоном Кулішем. Іван Франко, відвідавши письменника в 1885 р., писав, що здивувався, коли побачив «невеличкого, сухорлявого, слабосилого чоловіка, що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говорив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теплим і щирим, але слабеньким голосом».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Це аж ніяк не в'язалося з пафосом його творів, де відчувався «широкий розмах... руки», а їхній автор уявлявся «сильним, огрядним мужчиною, повним життєвої сили й енергії».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Однак саме ця внутрішня цільність і характеризує письменника. Так і в київський період Нечуй-Левицький написав ще понад тридцять творі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(«Невинна», «Афон-ський пройдисвіт», «Скривджені й нескривджені» та ін.), здійснив упродовж 1899—1914 рр. восьмитомне видання своїх творів.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Життя Івана Нечуя-Левицького обірвалося 15 квітня 1918 р. Поховано його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Байковому кладовищі в Києві.</w:t>
      </w:r>
    </w:p>
    <w:p w:rsidR="0032356D" w:rsidRPr="00262605" w:rsidRDefault="0032356D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2605" w:rsidRPr="0026260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</w:t>
      </w:r>
      <w:r w:rsidRPr="00262605">
        <w:rPr>
          <w:rFonts w:ascii="Times New Roman" w:hAnsi="Times New Roman" w:cs="Times New Roman"/>
          <w:b/>
          <w:i/>
          <w:sz w:val="28"/>
          <w:szCs w:val="28"/>
        </w:rPr>
        <w:t>ТВОРЧІСТЬ</w:t>
      </w:r>
    </w:p>
    <w:p w:rsidR="0032356D" w:rsidRPr="00262605" w:rsidRDefault="0032356D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605">
        <w:rPr>
          <w:rFonts w:ascii="Times New Roman" w:hAnsi="Times New Roman" w:cs="Times New Roman"/>
          <w:b/>
          <w:i/>
          <w:sz w:val="28"/>
          <w:szCs w:val="28"/>
        </w:rPr>
        <w:t>СВОЄ</w:t>
      </w:r>
      <w:proofErr w:type="gramStart"/>
      <w:r w:rsidRPr="00262605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gramEnd"/>
      <w:r w:rsidRPr="00262605">
        <w:rPr>
          <w:rFonts w:ascii="Times New Roman" w:hAnsi="Times New Roman" w:cs="Times New Roman"/>
          <w:b/>
          <w:i/>
          <w:sz w:val="28"/>
          <w:szCs w:val="28"/>
        </w:rPr>
        <w:t>ІДНІСТЬ СТИЛЮ ПИСЬМЕННИКА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У зв'язку з 35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іччям літературної діяльності Нечуя-Левицького Іван Франко у статті «Ювілей Івана Левиць-кого (Нечуя)» (1905) чи не вперше в нашій критиці порушив питання про місце його творчості в історії української літератури та української суспільної думки. Незважаючи на те, що навіть прогресивні діячі, як Микола Костомаров чи Михайло Драгоманов, вважали, що українською мовою слід писати насамперед для селянства, Нечуй-Левицький, за справедливим спостереженням критика,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ідомо творив для всієї нації, зокрема «для українських інтелігентів, яких бачив, може, </w:t>
      </w:r>
      <w:r w:rsidRPr="0032356D">
        <w:rPr>
          <w:rFonts w:ascii="Times New Roman" w:hAnsi="Times New Roman" w:cs="Times New Roman"/>
          <w:sz w:val="28"/>
          <w:szCs w:val="28"/>
        </w:rPr>
        <w:lastRenderedPageBreak/>
        <w:t xml:space="preserve">очима свого духа в будущині, в народження яких вірив, вірячи в живучість і суцільність своєї нації».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Франко, називаючи автора «Миколи Джері», «Кайда-шевої сім'ї», «Хмар» талановитим майстром слова, «творцем живих типів», акцентував на його вмінні спостерігати життя, передавати побачене засобами слова. Вчений образно називав Нечуя-Левицького «великим артистом зору», «колосальним, всеобіймаючим оком» Правобережної України. «Те око обхапує не маси, не загальні контури, а одиниці, зате обхапує їх із незрівнянною бистротою і точністю, вміє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ідхопити відразу їхні характерні риси і передати їх нам із тою випуклістю і свіжістю красок» у якій бачить їх само».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 Справді, проза Нечуя-Левицького доносить до нас яскраві картини з життя українського селянства, міщанства, заробітчан, духівництва, інтелігенції. Своїм пером письменник торкався тих багатьох граней української дійсності, які з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ізних причин досі або зовсім не показувалися, або відбивалися в літературі тільки частково. Крім того, в творчість прозаїка значною мірою увійшло життя нової історичної доби, яке, звісно, не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могло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бути показане попередниками. Оповідання і пові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 Нечуя-Левицького гу-стозаселені: тут виступають не тільки українці — представники різних станів і класів, а й єврейські крамарі, польські шляхтичі, молдавани, росіяни, греки.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іальні й побутові взаємини між ними надають зображуваному реалістичної достовірності й психологічної переконливості.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>Неповторна своє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ідність прози Нечуя-Левицького полягає ще й у мальовничості зображуваної природи. Найчастіше це картини його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ідного улюбленого Надросся, проте запам'ятовуються й пишні краєвиди Подніпров'я й Волині, українського Причорномор"я, Молдови, Як гімн чарівній природі Києва сприймається широкий пейзажний нарис «Вечір на Владимирській горі»: не можна відірвати погляду від буяння зелені на київських узгі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р'ях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, квітчастого килиму луків Оболоні, срібного плину Дніпра, по витих млою задніпрянських далей. «Яка пишка ця широка картина! Кращої од неї трудно знайти і по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ій Європі»,— з захопленням пише нариси, віддаючи належне смакам наших пращурів, коли вони вибирали саме ці місця для розбудови стольного міста.</w:t>
      </w:r>
    </w:p>
    <w:p w:rsidR="0032356D" w:rsidRPr="00262605" w:rsidRDefault="00262605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62605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 w:rsidR="0032356D" w:rsidRPr="00262605">
        <w:rPr>
          <w:rFonts w:ascii="Times New Roman" w:hAnsi="Times New Roman" w:cs="Times New Roman"/>
          <w:b/>
          <w:i/>
          <w:sz w:val="28"/>
          <w:szCs w:val="28"/>
        </w:rPr>
        <w:t xml:space="preserve">     РОЗШИРЕННЯ ТЕМАТИЧНИХ </w:t>
      </w:r>
      <w:proofErr w:type="gramStart"/>
      <w:r w:rsidR="0032356D" w:rsidRPr="00262605">
        <w:rPr>
          <w:rFonts w:ascii="Times New Roman" w:hAnsi="Times New Roman" w:cs="Times New Roman"/>
          <w:b/>
          <w:i/>
          <w:sz w:val="28"/>
          <w:szCs w:val="28"/>
        </w:rPr>
        <w:t>ОБР</w:t>
      </w:r>
      <w:proofErr w:type="gramEnd"/>
      <w:r w:rsidR="0032356D" w:rsidRPr="00262605">
        <w:rPr>
          <w:rFonts w:ascii="Times New Roman" w:hAnsi="Times New Roman" w:cs="Times New Roman"/>
          <w:b/>
          <w:i/>
          <w:sz w:val="28"/>
          <w:szCs w:val="28"/>
        </w:rPr>
        <w:t>ІЇВ ПРОЗИ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Тема народної долі стала магістральною для Нечуя-Ле-вицького, Вже в першому оповіданні «Гориславська ніч, або Рибалка Панас Круть» (1868) рибалка з містечка Богуслава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говорив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з гіркотою, що в житті брався за все, та </w:t>
      </w:r>
      <w:r w:rsidRPr="0032356D">
        <w:rPr>
          <w:rFonts w:ascii="Times New Roman" w:hAnsi="Times New Roman" w:cs="Times New Roman"/>
          <w:sz w:val="28"/>
          <w:szCs w:val="28"/>
        </w:rPr>
        <w:lastRenderedPageBreak/>
        <w:t xml:space="preserve">не було йому «щастя-долі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 в чому», не міг «на ноги сп'ястись», бо лихварі неправдою руйнували його добробут. А як поховав передчасно померлу дружину, то й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іт білий став йому немилим.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>Повість «Дві московки» (1868) також засвідчила прагнення письменника вийти за межі традиційної селянської теми, яка вже творами Григорія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вітки-Основ'яненка почала визначати обличчя української прози. Тут подано не тільки трагедію дівчат Ганни і Марини, які,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пов'язавши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свою долю з солдатами, зазнали невимовного лиха. Царська солдатчина відібрала від Ганни не лише чоловіка Василя, який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ішов «у похід» і десь загинув, а й сина, якого морально скалічили у школі кантоністів. Не зазнала щастя в одруженні з нелюбом і жвава Марина. Покинувши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ідне село, вона опинилася на самому дні життя і померла біля шинку на вулиці. «Не втекла,— кажуть,— од свого лиха, і не загуляла, і не заспівала, і не затанцювала його навіть в Києві»,— на такій невеселій ноті закінчується повість.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>Про шукання письменником основ національного буття йдеться у пові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 «Причепа» (1869). Засуджуючи ворожу Українському народові політику полонізації чи русифікації, Нечуй-Левицький проводить думку, що українець, вихований «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чужому ґрунті, «схиляється туди, куди повіє дужчий вітер». Так, «московська школа» відірвала від свого народу Якима Лемішковського, а далі його винародовлення прискорюється дружиною Зосею, яка поклялася "обляшити чоловіка і свою сі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м'ю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". Показ згубного впливу ворожого середовища на молодь з українських попівських та міщанських сімей єднає повість «Причепа» з раніше написаним, але виданим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ізніше романом Анатолія Свидницького «Люборацькі».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Романом «Хмари» (1874) Нечуй-Левицький відгукнувся на розгортання народницького руху, в якому вже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початку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60-х років брала участь освічена українська молодь. Концептуальність роману втілена в символічному образі хмар як тих темних сил, котрі прагнуть задушити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 проблиски українського культурно-освітнього життя. Шовіністична політика царизму була спрямована на денаціоналізацію української молоді, а отже, й знищення культури одного з найбільших слов'янських народі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Однак головним об'єктом художнього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ідження письменника було селянське життя. У пові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 «Микола Джеря» (1878), яку Франко характеризував як історію «всього українського селянства» за панщизняних часів, подану «в однім широкім образі», акцентується на не-знищенності народного потягу до волі. Образом головного героя повістяр стверджував </w:t>
      </w:r>
      <w:r w:rsidRPr="0032356D">
        <w:rPr>
          <w:rFonts w:ascii="Times New Roman" w:hAnsi="Times New Roman" w:cs="Times New Roman"/>
          <w:sz w:val="28"/>
          <w:szCs w:val="28"/>
        </w:rPr>
        <w:lastRenderedPageBreak/>
        <w:t>наявність у народу сильних, енергійних натур, які швидше зломляться, але не зігнуться. Повість вражає епічною широтою в змалюванні дійсності: письменник показує життя в закріпаченому селі, поневіряння на сахарні, виснажливу мандрівку втікачів до Бессарабії, наймитування на рибних промислах у Дністровському лимані. Весь тві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пройнятий волелюбним гуманістичним пафосом.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>Трагедія дівчини-селянки Василини з пові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 «Бурлачка» (1880) розгортається на широко виписаному тлі розорення села, наймитування бідняків на бурякових плантаціях у панській економії, експлуатації робітників на суконній фабриці. Складні випробування випали на долю Василини, здавалося, що вона загине під тиском соціальних обставин, і все ж бурлачці вдалось вирватися з гнітючих обіймів бездуховного існування. «Щасливим» фіналом повістяр намагався довести, що людина, повіривши в себе, зможе перемогти, здавалося б, нездоланні перешкоди.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Пореформене життя українського селянства знаходить відбиття в оповіданнях циклу «Баба Параска та баба Палажка», розпочатому в 1873 р. Тут виявилася така особливість таланту Нечуя-Левицького, як схильність до гумору в художньому окресленні побутових ситуацій. Показуючи пащекуватих, сварливих бабів, письменник вдався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добре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опрацьованої в українській прозі оповіді від першої особи. Такий композиційний прийом дав змогу авторові засобами барвистого побутового мовлення не просто створити яскраві образи селянок, а й викрити чимало тих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іальних недоладностей, які деморалізуюче впливали на людину.</w:t>
      </w:r>
    </w:p>
    <w:p w:rsidR="0032356D" w:rsidRPr="00262605" w:rsidRDefault="0032356D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2605" w:rsidRPr="00262605">
        <w:rPr>
          <w:rFonts w:ascii="Times New Roman" w:hAnsi="Times New Roman" w:cs="Times New Roman"/>
          <w:b/>
          <w:i/>
          <w:sz w:val="28"/>
          <w:szCs w:val="28"/>
          <w:lang w:val="uk-UA"/>
        </w:rPr>
        <w:t>4.</w:t>
      </w:r>
      <w:r w:rsidRPr="00262605">
        <w:rPr>
          <w:rFonts w:ascii="Times New Roman" w:hAnsi="Times New Roman" w:cs="Times New Roman"/>
          <w:b/>
          <w:i/>
          <w:sz w:val="28"/>
          <w:szCs w:val="28"/>
        </w:rPr>
        <w:t xml:space="preserve">   МІСЦЕ ПИСЬМЕННИКА В ІСТОРІЇ ЛІТЕРАТУРИ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Творчість Нечуя-Левицького становить важливий етап у розвитку українського реалізму. Вона характеризується інтенсивними ідейно-естетичними пошуками письменника, порушенням злободенних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іальних і морально-етичних проблем.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>До появи повістей Нечуя-Левицького український читач був ознайомлений хіба що з прозовими творами Григорія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вітки-Основ'яненка та Марка Вовчка.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ідхопивши все краще з їхніх традицій, автор «Миколи Джері» і «Кайдашевої сім'ї» замість оповіді, яка велася від імені героя, утверджує об'єктивно-ешчну розповідь, що створювала ширші можливості для всебічнішого моделювання дійсності. Хоч проза Нечуя-Левицького також генетично пов'язана з усною поезією, проте освоєння її мотивів та образів у нього глибше, ніж у попередників.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 Впадає в око така своє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ідність його реалізму, як показ впливу соціального середовища на формування особистості. Утверджуючи високі моральні ідеали, письменник беззастережно осуджував ті соціальні умови, які спотворювали, калічили сутність людини. У його повістях й оповіданнях завжди присутнє протистояння цільної особистості й здеморалізованих покручів, причому весь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іафос творчості спрямований на утвердження духовно багатої людини.</w:t>
      </w:r>
    </w:p>
    <w:p w:rsid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ізноманітна темами і жанрами проза Нечуя-Левицького є яскравим свідченням активного втручання українського письменства в суспільне життя, його ідейно-художнього вирівнювання з літературами інших європейських народів.</w:t>
      </w:r>
    </w:p>
    <w:p w:rsidR="00262605" w:rsidRPr="00262605" w:rsidRDefault="00262605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VІ Закріплення знань, умінь та навичок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356D">
        <w:rPr>
          <w:rFonts w:ascii="Times New Roman" w:hAnsi="Times New Roman" w:cs="Times New Roman"/>
          <w:b/>
          <w:i/>
          <w:sz w:val="28"/>
          <w:szCs w:val="28"/>
        </w:rPr>
        <w:t>Запитання і завдання: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На матеріалі вивчення біографії Івана Нечуя-Левицького висвітліть шляхи його зростання як творчої особистості. Що мав на увазі Іван Франко,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коли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говорив про Нечуя-Левицького як «виключно українського письменника»? Чому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критик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назвав його «великим артистом зору»? 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Життя яких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іальних верств українського народу стало об'єктом художнього дослідження в творчості Нечуя-Левицького?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У чому виявився новий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ідхід письменника до реалізації селянської теми?</w:t>
      </w:r>
    </w:p>
    <w:p w:rsidR="0032356D" w:rsidRPr="0032356D" w:rsidRDefault="0032356D" w:rsidP="0032356D">
      <w:pPr>
        <w:jc w:val="both"/>
        <w:rPr>
          <w:rFonts w:ascii="Times New Roman" w:hAnsi="Times New Roman" w:cs="Times New Roman"/>
          <w:sz w:val="28"/>
          <w:szCs w:val="28"/>
        </w:rPr>
      </w:pPr>
      <w:r w:rsidRPr="00323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 xml:space="preserve">Як ставився Нечуй-Левицький до проблеми виховання особистості в сім'ї, як її художньо реалізовував у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своїй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 xml:space="preserve"> творчості? Висвітліть це питання на </w:t>
      </w:r>
      <w:proofErr w:type="gramStart"/>
      <w:r w:rsidRPr="0032356D">
        <w:rPr>
          <w:rFonts w:ascii="Times New Roman" w:hAnsi="Times New Roman" w:cs="Times New Roman"/>
          <w:sz w:val="28"/>
          <w:szCs w:val="28"/>
        </w:rPr>
        <w:t>матер</w:t>
      </w:r>
      <w:proofErr w:type="gramEnd"/>
      <w:r w:rsidRPr="0032356D">
        <w:rPr>
          <w:rFonts w:ascii="Times New Roman" w:hAnsi="Times New Roman" w:cs="Times New Roman"/>
          <w:sz w:val="28"/>
          <w:szCs w:val="28"/>
        </w:rPr>
        <w:t>іалі творів письменника.</w:t>
      </w:r>
    </w:p>
    <w:p w:rsidR="004A50BF" w:rsidRDefault="0032356D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356D">
        <w:rPr>
          <w:rFonts w:ascii="Times New Roman" w:hAnsi="Times New Roman" w:cs="Times New Roman"/>
          <w:sz w:val="28"/>
          <w:szCs w:val="28"/>
        </w:rPr>
        <w:t>Як творчість Нечуя-Левицького вплинула на розвиток української прози XIX ст.?</w:t>
      </w:r>
    </w:p>
    <w:p w:rsidR="00017E73" w:rsidRDefault="00017E73" w:rsidP="0032356D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17E73">
        <w:rPr>
          <w:rFonts w:ascii="Times New Roman" w:hAnsi="Times New Roman" w:cs="Times New Roman"/>
          <w:i/>
          <w:sz w:val="28"/>
          <w:szCs w:val="28"/>
          <w:lang w:val="uk-UA"/>
        </w:rPr>
        <w:t>Робота з таблицею</w:t>
      </w:r>
    </w:p>
    <w:tbl>
      <w:tblPr>
        <w:tblStyle w:val="a4"/>
        <w:tblW w:w="0" w:type="auto"/>
        <w:tblLook w:val="04A0"/>
      </w:tblPr>
      <w:tblGrid>
        <w:gridCol w:w="2745"/>
        <w:gridCol w:w="6826"/>
      </w:tblGrid>
      <w:tr w:rsidR="00017E73" w:rsidTr="00017E73">
        <w:trPr>
          <w:trHeight w:val="660"/>
        </w:trPr>
        <w:tc>
          <w:tcPr>
            <w:tcW w:w="2745" w:type="dxa"/>
            <w:tcBorders>
              <w:bottom w:val="single" w:sz="4" w:space="0" w:color="auto"/>
              <w:right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Тематика творів</w:t>
            </w:r>
          </w:p>
        </w:tc>
        <w:tc>
          <w:tcPr>
            <w:tcW w:w="6826" w:type="dxa"/>
            <w:tcBorders>
              <w:left w:val="single" w:sz="4" w:space="0" w:color="auto"/>
              <w:bottom w:val="single" w:sz="4" w:space="0" w:color="auto"/>
            </w:tcBorders>
          </w:tcPr>
          <w:p w:rsidR="00017E73" w:rsidRDefault="00017E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Приклади</w:t>
            </w:r>
          </w:p>
        </w:tc>
      </w:tr>
      <w:tr w:rsidR="00017E73" w:rsidTr="00017E73">
        <w:trPr>
          <w:trHeight w:val="900"/>
        </w:trPr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Селянська</w:t>
            </w: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73" w:rsidRDefault="00017E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Повісті «Дві московки», «Микола Джеря», «Бурлачка», «Кайдашева сім’я», оповідання  «Баба Палажка і баба Параска»</w:t>
            </w: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7E73" w:rsidTr="00017E73">
        <w:trPr>
          <w:trHeight w:val="1163"/>
        </w:trPr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Життя інтелігенції, духовенства</w:t>
            </w: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73" w:rsidRDefault="00017E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Повісті «Причепа», «Старосвітські батюшки і матушки»; роман «Хмари»; комедія «Кожум’яка»; оповідання «Афонський пройдисвіт»</w:t>
            </w: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7E73" w:rsidTr="00017E73">
        <w:trPr>
          <w:trHeight w:val="1200"/>
        </w:trPr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Історичні твори</w:t>
            </w: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Драма «Маруся Богуславка»; романи «Князь Єремія Вишневецький», «Гетьман Іван Виговський»</w:t>
            </w:r>
          </w:p>
        </w:tc>
      </w:tr>
      <w:tr w:rsidR="00017E73" w:rsidTr="00017E73">
        <w:trPr>
          <w:trHeight w:val="585"/>
        </w:trPr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Етнографічні розвідки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7E73" w:rsidRDefault="00017E73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«Світогляд українського народну від давнин до сучасності»</w:t>
            </w:r>
          </w:p>
        </w:tc>
      </w:tr>
      <w:tr w:rsidR="00017E73" w:rsidTr="00017E73">
        <w:trPr>
          <w:trHeight w:val="585"/>
        </w:trPr>
        <w:tc>
          <w:tcPr>
            <w:tcW w:w="2745" w:type="dxa"/>
            <w:tcBorders>
              <w:top w:val="single" w:sz="4" w:space="0" w:color="auto"/>
              <w:right w:val="single" w:sz="4" w:space="0" w:color="auto"/>
            </w:tcBorders>
          </w:tcPr>
          <w:p w:rsidR="00017E73" w:rsidRDefault="001062A0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Літературно-критичні статті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</w:tcPr>
          <w:p w:rsidR="00017E73" w:rsidRDefault="001062A0" w:rsidP="003235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«Сьогочасне літературне прямування»; «Українство на літературних позвах з Московщиною»</w:t>
            </w:r>
          </w:p>
        </w:tc>
      </w:tr>
    </w:tbl>
    <w:p w:rsidR="00017E73" w:rsidRDefault="00017E73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VІІ. Підсумок заняття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Інтерактивна вправа «Мікрофон».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Продовжіть речення.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«І. С. Нечуя-Левицького я уявляю собі…»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«Для нас було б повчальним…»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«Мене вразило…»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VІІІ. Виставлення оцінок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ІХ. Домашнє завдання.</w:t>
      </w:r>
    </w:p>
    <w:p w:rsidR="003F43C6" w:rsidRDefault="003F43C6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Вивчити біографію І. Нечуя-Левицького, прочитати «Кайдашеву сім’ю», характеристика образів</w:t>
      </w:r>
    </w:p>
    <w:p w:rsidR="00F51BC5" w:rsidRDefault="00F51BC5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BC5" w:rsidRDefault="00F51BC5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1BC5" w:rsidRPr="00017E73" w:rsidRDefault="00F51BC5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7E73" w:rsidRPr="00017E73" w:rsidRDefault="00017E73" w:rsidP="003235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7E73" w:rsidRPr="00017E73" w:rsidSect="004A5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7668"/>
    <w:multiLevelType w:val="hybridMultilevel"/>
    <w:tmpl w:val="3470FA06"/>
    <w:lvl w:ilvl="0" w:tplc="6D9C51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2356D"/>
    <w:rsid w:val="00017E73"/>
    <w:rsid w:val="00086B5A"/>
    <w:rsid w:val="000C7F84"/>
    <w:rsid w:val="001062A0"/>
    <w:rsid w:val="00143926"/>
    <w:rsid w:val="00262605"/>
    <w:rsid w:val="002F058C"/>
    <w:rsid w:val="0032356D"/>
    <w:rsid w:val="003F43C6"/>
    <w:rsid w:val="004A50BF"/>
    <w:rsid w:val="00D10D98"/>
    <w:rsid w:val="00F5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98"/>
    <w:pPr>
      <w:ind w:left="720"/>
      <w:contextualSpacing/>
    </w:pPr>
  </w:style>
  <w:style w:type="table" w:styleId="a4">
    <w:name w:val="Table Grid"/>
    <w:basedOn w:val="a1"/>
    <w:uiPriority w:val="59"/>
    <w:rsid w:val="00017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9</Pages>
  <Words>2695</Words>
  <Characters>15367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2012-09-06T18:50:00Z</dcterms:created>
  <dcterms:modified xsi:type="dcterms:W3CDTF">2012-09-06T20:11:00Z</dcterms:modified>
</cp:coreProperties>
</file>