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A8" w:rsidRPr="00DA43A8" w:rsidRDefault="00DA43A8" w:rsidP="00DA43A8">
      <w:pPr>
        <w:spacing w:before="72" w:after="72" w:line="312" w:lineRule="atLeast"/>
        <w:ind w:firstLine="375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МЕХАНІЗМ ПРАВОВОГО РЕГУЛЮВАННЯ</w:t>
      </w:r>
    </w:p>
    <w:p w:rsidR="00DA43A8" w:rsidRDefault="004828AE" w:rsidP="00DA43A8">
      <w:pPr>
        <w:spacing w:before="72" w:after="72" w:line="312" w:lineRule="atLeast"/>
        <w:ind w:firstLine="375"/>
        <w:jc w:val="center"/>
        <w:rPr>
          <w:rFonts w:eastAsia="Times New Roman" w:cs="Times New Roman"/>
          <w:color w:val="000000"/>
          <w:sz w:val="23"/>
          <w:szCs w:val="23"/>
          <w:lang w:eastAsia="uk-UA"/>
        </w:rPr>
      </w:pPr>
      <w:r>
        <w:rPr>
          <w:rFonts w:eastAsia="Times New Roman" w:cs="Times New Roman"/>
          <w:color w:val="000000"/>
          <w:sz w:val="23"/>
          <w:szCs w:val="23"/>
          <w:lang w:eastAsia="uk-UA"/>
        </w:rPr>
        <w:t>План</w:t>
      </w:r>
    </w:p>
    <w:p w:rsidR="004828AE" w:rsidRPr="00EB126A" w:rsidRDefault="004828AE" w:rsidP="00EB126A">
      <w:pPr>
        <w:pStyle w:val="a5"/>
        <w:numPr>
          <w:ilvl w:val="0"/>
          <w:numId w:val="2"/>
        </w:numPr>
        <w:spacing w:before="72" w:after="72" w:line="312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</w:pPr>
      <w:r w:rsidRPr="00EB12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Правове регулювання, його межі, способи і типи</w:t>
      </w:r>
      <w:r w:rsidRPr="00EB12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.</w:t>
      </w:r>
    </w:p>
    <w:p w:rsidR="004828AE" w:rsidRDefault="004828AE" w:rsidP="004828AE">
      <w:pPr>
        <w:pStyle w:val="a5"/>
        <w:numPr>
          <w:ilvl w:val="0"/>
          <w:numId w:val="2"/>
        </w:numPr>
        <w:spacing w:before="72" w:after="72" w:line="312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</w:pPr>
      <w:r w:rsidRPr="004828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 xml:space="preserve">Механізм правового </w:t>
      </w:r>
      <w:proofErr w:type="spellStart"/>
      <w:r w:rsidRPr="004828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регулювання,його</w:t>
      </w:r>
      <w:proofErr w:type="spellEnd"/>
      <w:r w:rsidRPr="004828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 xml:space="preserve"> елементи і стадії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.</w:t>
      </w:r>
    </w:p>
    <w:p w:rsidR="004828AE" w:rsidRPr="00DB576B" w:rsidRDefault="004828AE" w:rsidP="00DB576B">
      <w:pPr>
        <w:pStyle w:val="a5"/>
        <w:numPr>
          <w:ilvl w:val="0"/>
          <w:numId w:val="2"/>
        </w:numPr>
        <w:spacing w:before="72" w:after="72" w:line="312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</w:pPr>
      <w:r w:rsidRPr="00DB576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Правові акти, їх види і співвідношення</w:t>
      </w:r>
    </w:p>
    <w:p w:rsidR="00DB576B" w:rsidRPr="00F051FC" w:rsidRDefault="00DB576B" w:rsidP="00F051FC">
      <w:pPr>
        <w:pStyle w:val="a5"/>
        <w:numPr>
          <w:ilvl w:val="0"/>
          <w:numId w:val="2"/>
        </w:numPr>
        <w:spacing w:before="72" w:after="72" w:line="312" w:lineRule="atLeas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</w:pPr>
      <w:r w:rsidRPr="00F051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Пільги, заохочення і обмеження в праві</w:t>
      </w:r>
    </w:p>
    <w:p w:rsidR="00F051FC" w:rsidRPr="00F051FC" w:rsidRDefault="00F051FC" w:rsidP="00F051FC">
      <w:pPr>
        <w:spacing w:before="72" w:after="72" w:line="312" w:lineRule="atLeast"/>
        <w:ind w:left="426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F051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5. Правова політика: поняття, види, форми, принципи</w:t>
      </w:r>
    </w:p>
    <w:p w:rsidR="004828AE" w:rsidRPr="00DA43A8" w:rsidRDefault="004828AE" w:rsidP="00073244">
      <w:pPr>
        <w:spacing w:before="72" w:after="72" w:line="312" w:lineRule="atLeast"/>
        <w:rPr>
          <w:rFonts w:eastAsia="Times New Roman" w:cs="Times New Roman"/>
          <w:color w:val="000000"/>
          <w:sz w:val="23"/>
          <w:szCs w:val="23"/>
          <w:lang w:eastAsia="uk-UA"/>
        </w:rPr>
      </w:pPr>
      <w:bookmarkStart w:id="0" w:name="_GoBack"/>
      <w:bookmarkEnd w:id="0"/>
    </w:p>
    <w:p w:rsidR="00DA43A8" w:rsidRPr="00DA43A8" w:rsidRDefault="00DA43A8" w:rsidP="00DA43A8">
      <w:pPr>
        <w:spacing w:before="72" w:after="72" w:line="312" w:lineRule="atLeast"/>
        <w:ind w:firstLine="375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1. Правове регулювання, його межі, способи і типи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Правове регулювання — це здійснюване правовими засобами впорядкування суспільних відносин за допомогою закріплення прав і обов'язків їх учасників і забезпечення їх належного виконання. Правове регулювання є одним з різновидів соціального регулювання, роль і значення якого в сучасному суспільстві неухильно зростає.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Разом із тим можливості правового регулювання, як і права в цілому, не безмежні. Необхідно усвідомити, що правовому регулюванню підлягають не всі суспільні від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носини. У зв'язку з цим його межі мають бути чітко визна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чені, повинен бути визначений оптимальний об'єм право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вого регулювання. Інакше можливі дві ситуації: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 якщо сфера правового регулювання виявляється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занадто звуженою,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то неминучими є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хаос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і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свавілля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в суспільному житті. Наприклад, у період індустріальної революції XVIII—XIX ст. трудові відносини розглядалися як сфера регулювання тільки з боку працедавців. Незахищеність працівників, їх безправ'я спричинили соціальні хвилювання, повстання, аж до збройних;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2) якщо сфера правового регулювання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дуже розширена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і всі сторони суспільного життя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дріб'язково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регламентовані і контролюються з боку держави, то неминучою є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соціальна пасивність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і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апатія громадян,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що потенційно загрожує свавіллям з боку влади. Багато в чому саме цим пояснюється законний (з формальної точки зору) прихід нацистів до влади в одній з найбільш розвинених у правовому відношенні країн Європи — Німеччини.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Уявляється, що правовому регулюванню підлягають суспільні відносини, що мають такі ознаки: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 відносини, які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поєднують індивідуальні інтереси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та </w:t>
      </w:r>
      <w:proofErr w:type="spellStart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загальносоціальні</w:t>
      </w:r>
      <w:proofErr w:type="spellEnd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 xml:space="preserve"> інтереси.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Це поєднання не є незмінним упродовж історії цивілізації. Так, у римському праві міжособистісні відносини членів сім'ї не підлягали правовому регулюванню. Сучасне ж право, що розглядає сім'ю не тільки як особисту, а й як соціальну цінність, «втручається» в них, щоб виключити, наприклад, домашнє насильство,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нерівноправ'я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членів сім'ї та інші негативні явища;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2) відносини,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в яких можливий розумний компроміс інтересів їхніх учасників,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в яких кожен погоджується з певним обмеженням своїх інтересів ради соціального миру, безпеки і спокою і, кінець кінцем, ради задоволення інтересів іншого. Наприклад, громадяни цивілізованих держав сплачують податки, розуміючи необхідність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підтримкислабозахищених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верств населення, підтримки національної безпеки держави тощо;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3) відносини, які будуються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на основі згоди людей з певними правилами і визнання їх обов'язковості для себе.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Більшість чинних правових норм виросли на цьому ґрунті. Наприклад, саме тому, що покупець розуміє і визнає обов'язковість сплати ціни товару, виникає правове 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lastRenderedPageBreak/>
        <w:t>регулювання договору купівлі-продажу. І ця думка поширюється на більшість правовідносин, як правило, здійснюваних людьми добровільно, через свою правосвідомість;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4) відносини, які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у принципі можуть бути захищені і підкріплені зовнішнім,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зокрема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державним примусом.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Наприклад, відносини, які будуються на основі емоцій і почуттів (дружба, любов, неприязнь), не піддаються правовому регулюванню і не можуть підтримуватися або обмежуватися зовнішнім примусом. Тому недоцільно включати їх до сфери правового регулювання.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Межі правового регулювання не залишаються незмін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ними. Сучасному суспільству властива юридизація соці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альних відносин, які раніше виключалися зі сфери право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вого регулювання (такими, наприклад, є підприємницька діяльність, сімейне життя, природокористування).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У правовому регулюванні використовується великий арсенал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способів (прийомів) правового регулювання: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1) дозволи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 (полягають у наданні суб'єктам прав на здій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снення певних позитивних дій);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 xml:space="preserve">2) </w:t>
      </w:r>
      <w:proofErr w:type="spellStart"/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зобов'язування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 (полягають у покладанні обов'язку здійснювати певні позитивні дії);</w:t>
      </w:r>
    </w:p>
    <w:p w:rsidR="00DA43A8" w:rsidRPr="00DA43A8" w:rsidRDefault="00DA43A8" w:rsidP="00DA43A8">
      <w:pPr>
        <w:spacing w:after="0" w:line="240" w:lineRule="auto"/>
        <w:jc w:val="both"/>
        <w:rPr>
          <w:rFonts w:ascii="Helvetica" w:eastAsia="Times New Roman" w:hAnsi="Helvetica" w:cs="Times New Roman"/>
          <w:color w:val="3A4651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3A4651"/>
          <w:sz w:val="23"/>
          <w:szCs w:val="23"/>
          <w:lang w:eastAsia="uk-UA"/>
        </w:rPr>
        <w:t>3) заборони</w:t>
      </w:r>
      <w:r w:rsidRPr="00DA43A8">
        <w:rPr>
          <w:rFonts w:ascii="Times New Roman" w:eastAsia="Times New Roman" w:hAnsi="Times New Roman" w:cs="Times New Roman"/>
          <w:color w:val="3A4651"/>
          <w:sz w:val="23"/>
          <w:szCs w:val="23"/>
          <w:lang w:eastAsia="uk-UA"/>
        </w:rPr>
        <w:t> (зводяться до покладання обов'язку утри</w:t>
      </w:r>
      <w:r w:rsidRPr="00DA43A8">
        <w:rPr>
          <w:rFonts w:ascii="Times New Roman" w:eastAsia="Times New Roman" w:hAnsi="Times New Roman" w:cs="Times New Roman"/>
          <w:color w:val="3A4651"/>
          <w:sz w:val="23"/>
          <w:szCs w:val="23"/>
          <w:lang w:eastAsia="uk-UA"/>
        </w:rPr>
        <w:softHyphen/>
        <w:t> </w:t>
      </w:r>
      <w:proofErr w:type="spellStart"/>
      <w:r w:rsidRPr="00DA43A8">
        <w:rPr>
          <w:rFonts w:ascii="Times New Roman" w:eastAsia="Times New Roman" w:hAnsi="Times New Roman" w:cs="Times New Roman"/>
          <w:color w:val="3A4651"/>
          <w:sz w:val="23"/>
          <w:szCs w:val="23"/>
          <w:lang w:eastAsia="uk-UA"/>
        </w:rPr>
        <w:t>муватися</w:t>
      </w:r>
      <w:proofErr w:type="spellEnd"/>
      <w:r w:rsidRPr="00DA43A8">
        <w:rPr>
          <w:rFonts w:ascii="Times New Roman" w:eastAsia="Times New Roman" w:hAnsi="Times New Roman" w:cs="Times New Roman"/>
          <w:color w:val="3A4651"/>
          <w:sz w:val="23"/>
          <w:szCs w:val="23"/>
          <w:lang w:eastAsia="uk-UA"/>
        </w:rPr>
        <w:t xml:space="preserve"> від заборонених дій);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4) заохочення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(виражаються в нагородженні суб'єктів за певну позитивну поведінку);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5) рекомендації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 (полягають у пропозиції вибрати найбільш доцільний (оптимальний) варіант поведінки).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У практиці правового регулювання в різних сферах су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спільного життя в певному співвідношенні використову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ються два типи регулювання: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 загально-дозвільний тип правового регулювання виражається у принципі: «Дозволено все, що прямо не заборонено законом». Це означає, що суб'єкти мають право здійснювати будь-які дії, які не потрапили в розряд заборонених. Цей тип правового регулювання співвідноситься з діями індивідів та їх об'єднань;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2) спеціально-дозвільний тип правового регулювання виражається у принципі: «Заборонено все, що прямо не дозволено законом». Отже, суб'єкт має право вибрати тільки такі форми поведінки, які прямо приписані правом. Такий тип регулювання властивий діяльності державних органів і органів місцевого самоврядування. Посадовець, державний орган має право діяти тільки так, як прямо приписано законом, посадовою інструкцією, нормативним наказом.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</w:p>
    <w:p w:rsidR="00DA43A8" w:rsidRPr="00DA43A8" w:rsidRDefault="00DA43A8" w:rsidP="00DA43A8">
      <w:pPr>
        <w:spacing w:before="72" w:after="72" w:line="312" w:lineRule="atLeast"/>
        <w:ind w:firstLine="375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bookmarkStart w:id="1" w:name="262"/>
      <w:bookmarkEnd w:id="1"/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 xml:space="preserve">2. Механізм правового </w:t>
      </w:r>
      <w:proofErr w:type="spellStart"/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регулювання,його</w:t>
      </w:r>
      <w:proofErr w:type="spellEnd"/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 xml:space="preserve"> елементи і стадії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Механізм правового регулювання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— це функціонуюча як єдине ціле система правових засобів, за допомогою яких здійснюється правове регулювання суспільних відносин.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Метою механізму правового регулювання є оптимізація суспільних відносин, забезпечення громадського і пра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вового порядку на основі режиму законності. Елементи механізму правового регулювання: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 норми права — нормативна основа механізму право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вого регулювання, яку складають усі джерела права. Пра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вильне тлумачення норм права забезпечує ефективність механізму правового регулювання;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lastRenderedPageBreak/>
        <w:t>2) юридичний факт — підстава для переходу абстрактних правових норм у конкретні права і обов'язки учасників суспільних відносин;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3) акти безпосередньої реалізації права (у правовідносинах і поза правовідносинами) — фактична поведінка суб'єктів права зі здійснення своїх прав і обов'язків;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4) акти застосування права — забезпечують реалізацію права (факультативний елемент). У таких актах персоніфікуються загальні права і обов'язки, а якщо необхідно, індивідуалізуються санкції правових норм.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Окремі елементи механізму правового регулювання до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мінують на різних його стадіях. Використання їх у певному порядку характеризує процес правового регулювання.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Стадії механізму правового регулювання: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 стадія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регламентації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суспільних відносин. На цій стадії створюються норми права, формуються правила поведінки суб'єктів, умови виникнення у них прав, обов'язків, повноважень, відповідальності. При цьому визначається не тільки коло інтересів суб'єктів права і, відповідно, правовідносин, у рамках яких їхнє здійснення буде правомірним, але також прогнозуються перешкоди цьому процесу, можливі правові засоби їх подолання. Нерідко початок механізму правового регулювання здійснюється не тільки з уведенням у дію правових норм, а й із залученням інтерпретаційних актів;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2) стадія </w:t>
      </w: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виникнення умов,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при яких відбувається перехід від правових норм до конкретних актів поведінки суб'єктів права. Ключовим елементом, що позначає цю стадію, є </w:t>
      </w: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юридичний факт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(фактичний склад). У певних випадках юридичним фактом виступає акт застосування права, особливо, коли йдеться про фактичний склад. Так, умовою реалізації права на вищу освіту є наказ ректора про зарахування на навчання. Він, у свою чергу видається тільки тоді, коли абітурієнт представив у приймальну комісію необхідні документи, склав вступні іспити і пройшов за конкурсом, тобто коли вже є три інших юридичних факти;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3) стадія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безпосередньої реалізації норм </w:t>
      </w: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права,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зокрема — виникнення </w:t>
      </w: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правових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відносин.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Інакше кажучи, втілення суб'єктивних юридичних прав і обов'язків </w:t>
      </w:r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в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конкретній, фактичній поведінці учасників суспільного відношення, за допомогою якого правове регулювання досягає своїх цілей — дозволяє задовольнити інтерес суб'єкта. Акти реалізації суб'єктивних прав і обов'язків — це основний засіб, за допомогою якого права і обов'язки втілюються в життя — здійснюються в поведінці конкретних суб'єктів. Ці акти можуть виражатися в трьох формах: дотриманні; виконанні; використанні.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У деяких випадках для реалізації норм права у фактич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 xml:space="preserve">ній поведінці суб'єктів необхідне видання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правозастосовчого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акта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(наприклад, виникнення прав і обов'язків у по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 xml:space="preserve">дружжя можливе тільки за наявності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акта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державної реє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страції шлюбу). Тоді виділяють четверту, факультативну стадію механізму правового регулювання — стадію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засто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softHyphen/>
        <w:t>сування права.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В реальності вона збігається з другою або третьою стадіями механізму правового регулювання.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Сучасне суспільство потребує вдосконалення механізму правового регулювання і підвищення його ефективності, що може бути досягнуто шляхом вдосконалення норм пра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ва, практики їх застосування, підвищення правової куль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тури суспільства в цілому й окремих індивідів.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  <w:t> 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</w:p>
    <w:p w:rsidR="00DA43A8" w:rsidRPr="00DA43A8" w:rsidRDefault="00DA43A8" w:rsidP="00DA43A8">
      <w:pPr>
        <w:spacing w:before="72" w:after="72" w:line="312" w:lineRule="atLeast"/>
        <w:ind w:firstLine="375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bookmarkStart w:id="2" w:name="263"/>
      <w:bookmarkEnd w:id="2"/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3. Правові акти, їх види і співвідношення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lastRenderedPageBreak/>
        <w:t>Функціонування права як специфічного регулятора су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спільних відносин і поведінки людей викликає необхідність «підтримувати» його дію за допомогою різних юридичних засобів. У одних випадках необхідно встановити загально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обов'язкові нормативно-правові приписи або документаль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но зафіксувати ті або інші життєві обставини, що мають юридичне значення (юридичні факти), в інших — закріпи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ти рішення у конкретній справі компетентного органу або угоду суб'єктів права. У всіх цих випадках використовують акти, що мають виражений юридичний характер.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Правові акти — це прийняті в офіційно визнаній (най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частіше — документальній) формі акти суб'єктів права, що мають юридичне значення.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Ознаки правових актів: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 мають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соціально-регулятивний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характер, тобто регламентують поведінку адресатів (невизначеного кола осіб або конкретної особи);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2) мають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активний, вольовий, свідомий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характер. Бездіяльність (пасивна поведінка), а також неусвідомлені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діїта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дії, здійснені під примусом, не можуть розглядатися як правовий акт. Наприклад, договір, укладений під загрозою фізичної розправи, розглядається цивільним правом як нікчемний;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3) тягнуть за собою певні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юридичні наслідки,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оскільки впливають на права і обов'язки суб'єктів, які уклали правовий акт або яким адресований акт;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4) мають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певну об'єктивно втілену форму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(закон, розпорядження, договір, вирок тощо). Найчастіше правові акти мають документальне оформлення. У багатьох випадках документальна форма правового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акта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є єдино можливою (наприклад, наказ про прийом на роботу). Але при цьому не виключаються усна і конклюдентна (мовчазна) форми правових актів (особливо в цивільному праві, де більшість операцій здійснюються усно);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5) підтримуються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силою державного примусу.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Як правило, більшість правових актів здійснюються добровільно, але у разі невиконання визначеного актом обов'язку можливе державне втручання у вигляді судового рішення або адміністративного наказу про примусове виконання обов'язку.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Види правових актів: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Залежно від спрямованості дії, тобто від породжуваних юридичних наслідків, всі правові акти поділяються на: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1) нормативно-правові акти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— спрямовані на встановлення, зміну або відміну норм права;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 xml:space="preserve">2) акти безпосередньої </w:t>
      </w:r>
      <w:proofErr w:type="spellStart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правореалізації</w:t>
      </w:r>
      <w:proofErr w:type="spellEnd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(договори, угоди);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3) </w:t>
      </w:r>
      <w:proofErr w:type="spellStart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правозастосовчі</w:t>
      </w:r>
      <w:proofErr w:type="spellEnd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 xml:space="preserve"> акти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— спрямовані на реалізацію розпоряджень правових норм;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4) </w:t>
      </w:r>
      <w:proofErr w:type="spellStart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правоінтерпретаційні</w:t>
      </w:r>
      <w:proofErr w:type="spellEnd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 xml:space="preserve"> акти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(акти тлумачення права) — спрямовані на роз'яснення норм права.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Кожний з указаних видів правових актів виконує свою функцію в механізмі правового регулювання суспільних відносин.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У свою чергу, нормативно-правові акти, акти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правореа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лізації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,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правозастосовчі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та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правоінтерпретаційні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акти та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кож поділяються на окремі підвиди.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Крім того, правові акти можна поділити на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нормативно-правові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і </w:t>
      </w:r>
      <w:proofErr w:type="spellStart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казуально</w:t>
      </w:r>
      <w:proofErr w:type="spellEnd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-правові (індивідуальні).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Нормативно-правові акти містять загальнообов'язкові правові приписи (норми права), поширюються на безліч суб'єктів права і життєві ситуації, що повторюються.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Казуально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-правові акти обов'язкові для певного кола конкретних суб'єктів і діють «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разово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» на 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lastRenderedPageBreak/>
        <w:t>конкретний життєвий випадок. Напри 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клад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, Закон України «Про об'єднання громадян» є норма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тивно-правовим актом, а видане на його основі рішення про реєстрацію громадської організації є індивідуальним право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вим актом.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Співвідношення між правовими актами таке: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норма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softHyphen/>
        <w:t>тивно-правові акти служать основою для всіх інших правових актів.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Наприклад, норми Кримінального і Кри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мінально-процесуального кодексів України, що встанов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люють особливості кримінальної відповідальності неповно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літніх, розтлумачені в Постанові Пленуму Верховного Суду України № 5 від 16 квітня 2004 р. «Про практику застосу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вання судами України законодавства про злочини неповно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літніх» (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правоінтерпретаційний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акт). На основі цих норма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 xml:space="preserve">тивно-правових актів і з урахуванням офіційного інтерпретаційного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акта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суд постановляє вирок (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правозастосовчий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 акт) у конкретній справі щодо конкретного підсудного-неповнолітнього.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  <w:t> 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</w:p>
    <w:p w:rsidR="00DA43A8" w:rsidRPr="00DA43A8" w:rsidRDefault="00DA43A8" w:rsidP="00DA43A8">
      <w:pPr>
        <w:spacing w:before="72" w:after="72" w:line="312" w:lineRule="atLeast"/>
        <w:ind w:firstLine="375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bookmarkStart w:id="3" w:name="264"/>
      <w:bookmarkEnd w:id="3"/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4. Пільги, заохочення і обмеження в праві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Роль майбутніх заохочень і обмежень у визначенні лінії поведінки людини вперше була відмічена російсько-амери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 xml:space="preserve">канським соціологом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Пітиримом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Сорокіним. У наш час питання, пов'язані з правовими пільгами, заохоченнями і обмеженнями комплексно досліджує російський учений-юрист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А.В.Малько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Правова пільга — це правомірне полегшення становища суб'єкта, що виражається як у наданні додаткових прав (переваг), так і у звільненні від обов'язків.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Ознаки правової пільги: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 пільга — це особливе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додаткове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суб'єктивне право. Наприклад, характер пільги мають субсидії на оплату ко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мунальних послуг, безкоштовний проїзд у громадському транспорті для учасників війни і бойових дій, різні види державної допомоги (самотнім матерям, сім'ям із дітьми тощо), особливі умови праці для інвалідів, вагітних жінок, неповнолітніх;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2) пільга має на меті — з одного боку,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вирівнювання </w:t>
      </w:r>
      <w:proofErr w:type="spellStart"/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можливостей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для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розвитку осіб, що перебувають у нерівних умовах через біологічні та соціальні причини (такими є малозабезпечені сім'ї, діти, громадяни літнього віку, інваліди), з іншого боку — посилення інтересу суб'єктів права у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соціально-корисній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діяльності (наприклад, добродійності);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3) пільга юридично закріплюється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нормативно-правовими актами.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Заборона надавати пільги в індивідуальному порядку, шляхом видання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правозастосовчих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актів, має на меті звести до мінімуму можливі зловживання. Більшість пільг встановлюються законом, але можливі також пільги, що надаються підзаконними актами (особливо на місцевому рівні).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Специфічним різновидом правових пільг виступають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привілеї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та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імунітети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для владних органів і посадовців, необхідні їм для повнішого і якіснішого здійснення служ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бових обов'язків (надання службового житла, персональ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ного автомобіля, безкоштовного проїзду в транспорті, дипломатичний імунітет, імунітет депутата, судді тощо).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Правові заохочення — це форма і міра юридичного схвалення заслуг суб'єкта права перед суспільством.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Ознаки правових заохочень: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 виступають як результат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заслуги,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тобто добросовісного правомірного вчинку, пов'язаного з «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надвиконанням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» суб'єктом обов'язків або з досягненням ним загальновизнаного 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lastRenderedPageBreak/>
        <w:t>корисного результату (затримання небезпечного злочинця, врятування людей під час стихійного лиха, пожежі, катастрофи, видатне наукове відкриття тощо);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2) є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закликом здійснити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бажаний для суспільства вчинок, але не зобов'язують до нього кожного суб'єкта;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3) мають форму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нагороди,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яка виступає як дострокове присвоєння чергового військового або спеціального звання, нагородження державною нагородою, присвоєння почесного звання, преміювання;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4) виступають як позитивний правовий стимул, як правило,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найдієвіший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у порівнянні із суб'єктивними правами, рекомендаціями, пільгами тощо. </w:t>
      </w:r>
      <w:r w:rsidRPr="00DA4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uk-UA"/>
        </w:rPr>
        <w:t>Правовий стимул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(від лат. 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stimulus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 — загострена палиця, якою поганяли тварин) — це закріплена в юридичних нормах спонука до правомірної поведінки.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Залежно, від їх змісту розрізнять матеріально-правові (видача грошової премії) і морально-правові (оголошення подяки) заохочення.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Правові заохочення є способом (прийомом) правового регулювання, який, на відміну від правових обмежень, жорстко не регламентується правом. Тому правові заохо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чення можуть встановлюватися різними суб'єктами права і різноманіття їх, через це, практично безмежне.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Правове обмеження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— це закріплена в юридичних нор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мах перешкода для неправомірної поведінки, що створює умови для задоволення інтересів суб'єктів права в нормаль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ному функціонуванні суспільних інститутів.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Ознаки правових обмежень: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 містять інформацію про </w:t>
      </w: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негативну правову реакцію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у разі протиправної поведінки суб'єкта;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2) виступають як загроза </w:t>
      </w: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позбавлення певних цінностей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. Залежно від змісту цінностей, яких може бути позбавлений суб'єкт права, виділяють матеріально-правові (наприклад, конфіскація майна) і морально-правові (наприклад, догана) обмеження;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3) метою правових обмежень є </w:t>
      </w: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зниження негативних проявів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правового життя, забезпечення нормального здійснення суспільних відносин;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4) є </w:t>
      </w: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закликом утриматися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від небажаного для суспільства вчинку.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Правові обмеження встановлюються нормативно-право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вими актами, а найбільш серйозні обмеження (позбавлення волі, конфіскація майна, арешт тощо) — виключно зако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ном.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  <w:t> 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</w:p>
    <w:p w:rsidR="00DA43A8" w:rsidRPr="00DA43A8" w:rsidRDefault="00DA43A8" w:rsidP="00DA43A8">
      <w:pPr>
        <w:spacing w:before="72" w:after="72" w:line="312" w:lineRule="atLeast"/>
        <w:ind w:firstLine="375"/>
        <w:jc w:val="center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bookmarkStart w:id="4" w:name="265"/>
      <w:bookmarkEnd w:id="4"/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5. Правова політика: поняття, види, форми, принципи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Термін «правова політика» ввів до наукового обігу Л.І.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Петражицький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. Але лише наприкінці XX ст. правова політика почала перетворюватися на відносно самостійний напрям державної політики. Правова політика значно впливає на всі види діяльності держави.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Правова політика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— це діяльність суб'єктів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політичноїсистеми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, спрямована на вдосконалення правової системи, підвищення ефективності механізму правового регулюван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ня, побудову правової держави.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Види правової політики: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1) за сферою здійснення вона може бути конституцій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softHyphen/>
        <w:t>ною, кримінальною, сімейною, фінансовою, податковою, митною, банківською тощо;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lastRenderedPageBreak/>
        <w:t>2) за змістом — законодавчою, виконавчою, судовою, прокурорською, нотаріальною тощо;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3) залежно від цілей — поточною та перспективною;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4) залежно від функцій —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праворегулятивною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та правоохоронною.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Форми правової політики 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сучасної держави: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1) правотворча форма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 втілюється в ухваленні, зміні і скасуванні нормативних актів і договорів. Головна проблема тут полягає не в кількості нормативних актів і договорів, а в тому, щоб вони були пов'язані в єдину систему. Законотворчість передбачає достатньо високий рівень правосвідомості і правової культури депутатського корпусу;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 xml:space="preserve">2) </w:t>
      </w:r>
      <w:proofErr w:type="spellStart"/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правозастосовча</w:t>
      </w:r>
      <w:proofErr w:type="spellEnd"/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 xml:space="preserve"> форма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 переважно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утілюється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в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застосовчих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актах. Особливістю цієї форми є те, що в сучасних умовах значно розширився суб'єктний склад правозастосування. Тепер активно, але не завжди, на жаль, законно застосовують право і недержавні структури: органи місцевого самоврядування, керівники приватних фірм, банків, громадських об'єднань тощо;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 xml:space="preserve">3) </w:t>
      </w:r>
      <w:proofErr w:type="spellStart"/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правоінтерпретаційна</w:t>
      </w:r>
      <w:proofErr w:type="spellEnd"/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 xml:space="preserve"> форма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 переважно втілюється в актах тлумачення правових норм (інтерпретаційних актах);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4) доктринальна форма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 переважно втілюється в концепціях і проектах правових актів, у науковому передбаченні розвитку юридичних ситуацій. Юридичні переконання і концепції є надзвичайно значущими для формування моделі правового регулювання, для вдосконалення законодавства, для оптимізації методології тлумачення юридичних норм, для </w:t>
      </w:r>
      <w:proofErr w:type="spellStart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правореалізаційного</w:t>
      </w:r>
      <w:proofErr w:type="spellEnd"/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процесу;</w:t>
      </w:r>
    </w:p>
    <w:p w:rsidR="00DA43A8" w:rsidRPr="00DA43A8" w:rsidRDefault="00DA43A8" w:rsidP="00DA43A8">
      <w:pPr>
        <w:spacing w:before="72" w:after="72" w:line="312" w:lineRule="atLeast"/>
        <w:ind w:firstLine="375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uk-UA"/>
        </w:rPr>
      </w:pPr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 xml:space="preserve">5) </w:t>
      </w:r>
      <w:proofErr w:type="spellStart"/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>правонавчаюча</w:t>
      </w:r>
      <w:proofErr w:type="spellEnd"/>
      <w:r w:rsidRPr="00DA43A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uk-UA"/>
        </w:rPr>
        <w:t xml:space="preserve"> форма</w:t>
      </w:r>
      <w:r w:rsidRPr="00DA43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 виявляється в підготовці юристів нового покоління, готових творчо діяти в новій політико-правовій ситуації. Правова політика значною мірою розробляється, фіксується, проводиться юристами, тому студентам юридичних вузів необхідно знати основи, специфіку, види і значення правової політики.</w:t>
      </w:r>
    </w:p>
    <w:p w:rsidR="00DA43A8" w:rsidRPr="00DA43A8" w:rsidRDefault="00DA43A8" w:rsidP="00DA43A8">
      <w:pPr>
        <w:spacing w:after="0" w:line="240" w:lineRule="auto"/>
        <w:rPr>
          <w:rFonts w:ascii="Helvetica" w:eastAsia="Times New Roman" w:hAnsi="Helvetica" w:cs="Times New Roman"/>
          <w:color w:val="3A4651"/>
          <w:sz w:val="23"/>
          <w:szCs w:val="23"/>
          <w:lang w:eastAsia="uk-UA"/>
        </w:rPr>
      </w:pPr>
      <w:r w:rsidRPr="00DA43A8">
        <w:rPr>
          <w:rFonts w:ascii="Helvetica" w:eastAsia="Times New Roman" w:hAnsi="Helvetica" w:cs="Times New Roman"/>
          <w:color w:val="3A4651"/>
          <w:sz w:val="23"/>
          <w:szCs w:val="23"/>
          <w:lang w:eastAsia="uk-UA"/>
        </w:rPr>
        <w:br/>
      </w:r>
    </w:p>
    <w:p w:rsidR="005465DA" w:rsidRDefault="00073244"/>
    <w:sectPr w:rsidR="0054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E4AB8"/>
    <w:multiLevelType w:val="hybridMultilevel"/>
    <w:tmpl w:val="ED764F2E"/>
    <w:lvl w:ilvl="0" w:tplc="1DFA896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31058FC"/>
    <w:multiLevelType w:val="multilevel"/>
    <w:tmpl w:val="0352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A8"/>
    <w:rsid w:val="00073244"/>
    <w:rsid w:val="004828AE"/>
    <w:rsid w:val="00A2645B"/>
    <w:rsid w:val="00CF1A39"/>
    <w:rsid w:val="00D70532"/>
    <w:rsid w:val="00DA43A8"/>
    <w:rsid w:val="00DB576B"/>
    <w:rsid w:val="00EB126A"/>
    <w:rsid w:val="00F0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38A8"/>
  <w15:chartTrackingRefBased/>
  <w15:docId w15:val="{91C00ABF-61B1-48E3-9594-B2E329D7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A43A8"/>
    <w:rPr>
      <w:color w:val="0000FF"/>
      <w:u w:val="single"/>
    </w:rPr>
  </w:style>
  <w:style w:type="character" w:customStyle="1" w:styleId="ratingtypeplus">
    <w:name w:val="ratingtypeplus"/>
    <w:basedOn w:val="a0"/>
    <w:rsid w:val="00DA43A8"/>
  </w:style>
  <w:style w:type="character" w:customStyle="1" w:styleId="short-title">
    <w:name w:val="short-title"/>
    <w:basedOn w:val="a0"/>
    <w:rsid w:val="00DA43A8"/>
  </w:style>
  <w:style w:type="paragraph" w:styleId="a5">
    <w:name w:val="List Paragraph"/>
    <w:basedOn w:val="a"/>
    <w:uiPriority w:val="34"/>
    <w:qFormat/>
    <w:rsid w:val="0048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203">
          <w:marLeft w:val="0"/>
          <w:marRight w:val="0"/>
          <w:marTop w:val="0"/>
          <w:marBottom w:val="0"/>
          <w:divBdr>
            <w:top w:val="single" w:sz="6" w:space="0" w:color="E6E7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12315</Words>
  <Characters>7021</Characters>
  <Application>Microsoft Office Word</Application>
  <DocSecurity>0</DocSecurity>
  <Lines>58</Lines>
  <Paragraphs>38</Paragraphs>
  <ScaleCrop>false</ScaleCrop>
  <Company/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2020-04-29T05:42:00Z</dcterms:created>
  <dcterms:modified xsi:type="dcterms:W3CDTF">2020-04-29T05:47:00Z</dcterms:modified>
</cp:coreProperties>
</file>